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DFA5" w14:textId="5D7DA793" w:rsidR="00513862" w:rsidRPr="005711D1" w:rsidRDefault="00AE385D" w:rsidP="005711D1">
      <w:pPr>
        <w:rPr>
          <w:bCs/>
          <w:sz w:val="22"/>
        </w:rPr>
      </w:pPr>
      <w:r w:rsidRPr="005711D1">
        <w:rPr>
          <w:bCs/>
          <w:sz w:val="22"/>
        </w:rPr>
        <w:t>High Energy Engineering</w:t>
      </w:r>
      <w:r w:rsidRPr="005711D1">
        <w:rPr>
          <w:bCs/>
          <w:sz w:val="22"/>
        </w:rPr>
        <w:br/>
        <w:t>Goldrush Generator Paralleling Project</w:t>
      </w:r>
      <w:r w:rsidR="005711D1" w:rsidRPr="005711D1">
        <w:rPr>
          <w:bCs/>
          <w:sz w:val="22"/>
        </w:rPr>
        <w:t xml:space="preserve"> - </w:t>
      </w:r>
      <w:r w:rsidRPr="005711D1">
        <w:rPr>
          <w:bCs/>
          <w:sz w:val="22"/>
        </w:rPr>
        <w:t>Communications Architecture Narrative</w:t>
      </w:r>
    </w:p>
    <w:p w14:paraId="353E8626" w14:textId="77777777" w:rsidR="00513862" w:rsidRPr="005711D1" w:rsidRDefault="00AE385D" w:rsidP="005711D1">
      <w:pPr>
        <w:rPr>
          <w:bCs/>
          <w:sz w:val="22"/>
        </w:rPr>
      </w:pPr>
      <w:r w:rsidRPr="005711D1">
        <w:rPr>
          <w:bCs/>
          <w:sz w:val="22"/>
        </w:rPr>
        <w:t>1. Purpose</w:t>
      </w:r>
    </w:p>
    <w:p w14:paraId="3AAD250A" w14:textId="77777777" w:rsidR="00513862" w:rsidRPr="005711D1" w:rsidRDefault="00AE385D" w:rsidP="005711D1">
      <w:pPr>
        <w:rPr>
          <w:bCs/>
          <w:sz w:val="22"/>
        </w:rPr>
      </w:pPr>
      <w:r w:rsidRPr="005711D1">
        <w:rPr>
          <w:bCs/>
          <w:sz w:val="22"/>
        </w:rPr>
        <w:t>This narrative summarizes the intended communications architecture for the Goldrush Generator Paralleling Project. The purpose of the communications architecture is to support reliable exchange of status, alarms, sequence information, operator controls, event data, and supervisory automation signals between the generator controllers, protective relays, RTAC platforms, and the operator HMI.</w:t>
      </w:r>
    </w:p>
    <w:p w14:paraId="1F72C42E" w14:textId="77777777" w:rsidR="00513862" w:rsidRPr="005711D1" w:rsidRDefault="00AE385D" w:rsidP="005711D1">
      <w:pPr>
        <w:rPr>
          <w:bCs/>
          <w:sz w:val="22"/>
        </w:rPr>
      </w:pPr>
      <w:r w:rsidRPr="005711D1">
        <w:rPr>
          <w:bCs/>
          <w:sz w:val="22"/>
        </w:rPr>
        <w:t>2. Overall Architecture</w:t>
      </w:r>
    </w:p>
    <w:p w14:paraId="10DCE07F" w14:textId="77777777" w:rsidR="00513862" w:rsidRPr="005711D1" w:rsidRDefault="00AE385D" w:rsidP="005711D1">
      <w:pPr>
        <w:rPr>
          <w:bCs/>
          <w:sz w:val="22"/>
        </w:rPr>
      </w:pPr>
      <w:r w:rsidRPr="005711D1">
        <w:rPr>
          <w:bCs/>
          <w:sz w:val="22"/>
        </w:rPr>
        <w:t xml:space="preserve">The communications architecture is based on a dedicated generator control network centered on the new SEL-3555 RTAC. The SEL-3555 acts as the primary supervisory automation platform for the generator paralleling system and exchanges data with the Caterpillar ECS-200 generator controllers, the new SEL-700G generator relays, and the applicable existing SEL-751 relays associated with the mains and tie. The dedicated generator RTAC then communicates upstream to the existing SEL-3530 substation RTAC for broader </w:t>
      </w:r>
      <w:r w:rsidRPr="005711D1">
        <w:rPr>
          <w:bCs/>
          <w:sz w:val="22"/>
        </w:rPr>
        <w:t>station visibility and SCADA integration.</w:t>
      </w:r>
    </w:p>
    <w:p w14:paraId="049D1C11" w14:textId="77777777" w:rsidR="00513862" w:rsidRPr="005711D1" w:rsidRDefault="00AE385D" w:rsidP="005711D1">
      <w:pPr>
        <w:rPr>
          <w:bCs/>
          <w:sz w:val="22"/>
        </w:rPr>
      </w:pPr>
      <w:r w:rsidRPr="005711D1">
        <w:rPr>
          <w:bCs/>
          <w:sz w:val="22"/>
        </w:rPr>
        <w:t>3. Device Roles in the Communications Architecture</w:t>
      </w:r>
    </w:p>
    <w:p w14:paraId="1A4A66EF" w14:textId="77777777" w:rsidR="00513862" w:rsidRPr="005711D1" w:rsidRDefault="00AE385D" w:rsidP="005711D1">
      <w:pPr>
        <w:rPr>
          <w:bCs/>
          <w:sz w:val="22"/>
        </w:rPr>
      </w:pPr>
      <w:r w:rsidRPr="005711D1">
        <w:rPr>
          <w:bCs/>
          <w:sz w:val="22"/>
        </w:rPr>
        <w:t xml:space="preserve">The ECS-200 controllers provide generator operating data, readiness indications, alarm status, and other </w:t>
      </w:r>
      <w:proofErr w:type="gramStart"/>
      <w:r w:rsidRPr="005711D1">
        <w:rPr>
          <w:bCs/>
          <w:sz w:val="22"/>
        </w:rPr>
        <w:t>machine-side</w:t>
      </w:r>
      <w:proofErr w:type="gramEnd"/>
      <w:r w:rsidRPr="005711D1">
        <w:rPr>
          <w:bCs/>
          <w:sz w:val="22"/>
        </w:rPr>
        <w:t xml:space="preserve"> supervisory information to the SEL-3555 RTAC. The SEL-700G relays provide generator protection status, breaker-related status, event information, synchronizing status, and relay points required by the generator control sequence. The SEL-751 relays provide main and tie breaker-related status, synchronizing supervision status, transfer-related permissives, and event information associated with their respective breaker positions and protection roles. The SEL-3555 RTAC collects, organizes, and acts</w:t>
      </w:r>
      <w:r w:rsidRPr="005711D1">
        <w:rPr>
          <w:bCs/>
          <w:sz w:val="22"/>
        </w:rPr>
        <w:t xml:space="preserve"> on this information to execute the supervisory control logic, underfrequency load shedding sequences, HMI displays, and alarm handling required for the project.</w:t>
      </w:r>
    </w:p>
    <w:p w14:paraId="335B9F7D" w14:textId="77777777" w:rsidR="00513862" w:rsidRPr="005711D1" w:rsidRDefault="00AE385D" w:rsidP="005711D1">
      <w:pPr>
        <w:rPr>
          <w:bCs/>
          <w:sz w:val="22"/>
        </w:rPr>
      </w:pPr>
      <w:r w:rsidRPr="005711D1">
        <w:rPr>
          <w:bCs/>
          <w:sz w:val="22"/>
        </w:rPr>
        <w:t>4. Protocol Philosophy</w:t>
      </w:r>
    </w:p>
    <w:p w14:paraId="5D024EE2" w14:textId="77777777" w:rsidR="00513862" w:rsidRPr="005711D1" w:rsidRDefault="00AE385D" w:rsidP="005711D1">
      <w:pPr>
        <w:rPr>
          <w:bCs/>
          <w:sz w:val="22"/>
        </w:rPr>
      </w:pPr>
      <w:r w:rsidRPr="005711D1">
        <w:rPr>
          <w:bCs/>
          <w:sz w:val="22"/>
        </w:rPr>
        <w:t xml:space="preserve">The communications design is intended to use the most appropriate protocol for each interface rather than forcing all communications through a single method. Modbus TCP is expected to be used for data exchange with the ECS-200 controllers where </w:t>
      </w:r>
      <w:proofErr w:type="gramStart"/>
      <w:r w:rsidRPr="005711D1">
        <w:rPr>
          <w:bCs/>
          <w:sz w:val="22"/>
        </w:rPr>
        <w:t>controller soft data</w:t>
      </w:r>
      <w:proofErr w:type="gramEnd"/>
      <w:r w:rsidRPr="005711D1">
        <w:rPr>
          <w:bCs/>
          <w:sz w:val="22"/>
        </w:rPr>
        <w:t>, operating values, readiness points, and alarm information are required by the RTAC. SEL protocol and/or Ethernet-based relay communications will be used for the SEL protective relays as appropriate for settings access, event retrieval, and status integration. SEL Mirrored Bits will be used wherever practical for high-speed deterministic exchange of supervisory status and relay-related sequence signals that benefit from faster and more reliable relay-to-relay or relay-to-RTAC communicat</w:t>
      </w:r>
      <w:r w:rsidRPr="005711D1">
        <w:rPr>
          <w:bCs/>
          <w:sz w:val="22"/>
        </w:rPr>
        <w:t>ion than conventional polling alone. DNP3 or other agreed supervisory protocol will be used between the new SEL-3555 RTAC and the existing SEL-3530 RTAC for station-level integration.</w:t>
      </w:r>
    </w:p>
    <w:p w14:paraId="3C991117" w14:textId="77777777" w:rsidR="00513862" w:rsidRPr="005711D1" w:rsidRDefault="00AE385D" w:rsidP="005711D1">
      <w:pPr>
        <w:rPr>
          <w:bCs/>
          <w:sz w:val="22"/>
        </w:rPr>
      </w:pPr>
      <w:r w:rsidRPr="005711D1">
        <w:rPr>
          <w:bCs/>
          <w:sz w:val="22"/>
        </w:rPr>
        <w:t>5. Communications Hierarchy</w:t>
      </w:r>
    </w:p>
    <w:p w14:paraId="573162CA" w14:textId="77777777" w:rsidR="00513862" w:rsidRPr="005711D1" w:rsidRDefault="00AE385D" w:rsidP="005711D1">
      <w:pPr>
        <w:rPr>
          <w:bCs/>
          <w:sz w:val="22"/>
        </w:rPr>
      </w:pPr>
      <w:r w:rsidRPr="005711D1">
        <w:rPr>
          <w:bCs/>
          <w:sz w:val="22"/>
        </w:rPr>
        <w:t xml:space="preserve">The communications hierarchy is intentionally structured so that the dedicated generator RTAC is the supervisory master for the generator paralleling system, while the existing SEL-3530 remains the broader station-level platform. This avoids conflicting control authority and keeps the generator automation logic segregated in the dedicated RTAC while still allowing key status, alarms, events, and operating information to be presented to the existing station SCADA environment. Control authority </w:t>
      </w:r>
      <w:r w:rsidRPr="005711D1">
        <w:rPr>
          <w:bCs/>
          <w:sz w:val="22"/>
        </w:rPr>
        <w:lastRenderedPageBreak/>
        <w:t xml:space="preserve">remains with the dedicated generator </w:t>
      </w:r>
      <w:proofErr w:type="gramStart"/>
      <w:r w:rsidRPr="005711D1">
        <w:rPr>
          <w:bCs/>
          <w:sz w:val="22"/>
        </w:rPr>
        <w:t>RTAC</w:t>
      </w:r>
      <w:proofErr w:type="gramEnd"/>
      <w:r w:rsidRPr="005711D1">
        <w:rPr>
          <w:bCs/>
          <w:sz w:val="22"/>
        </w:rPr>
        <w:t xml:space="preserve"> and the relay/controller architecture defined in the control narrative; the existing station RTAC is not intended to duplicate or compete with the generator sequence logic.</w:t>
      </w:r>
    </w:p>
    <w:p w14:paraId="1CA7CB82" w14:textId="77777777" w:rsidR="00513862" w:rsidRPr="005711D1" w:rsidRDefault="00AE385D" w:rsidP="005711D1">
      <w:pPr>
        <w:rPr>
          <w:bCs/>
          <w:sz w:val="22"/>
        </w:rPr>
      </w:pPr>
      <w:r w:rsidRPr="005711D1">
        <w:rPr>
          <w:bCs/>
          <w:sz w:val="22"/>
        </w:rPr>
        <w:t>6. Time Synchronization and Event Quality</w:t>
      </w:r>
    </w:p>
    <w:p w14:paraId="6C36F1D2" w14:textId="77777777" w:rsidR="00513862" w:rsidRPr="005711D1" w:rsidRDefault="00AE385D" w:rsidP="005711D1">
      <w:pPr>
        <w:rPr>
          <w:bCs/>
          <w:sz w:val="22"/>
        </w:rPr>
      </w:pPr>
      <w:r w:rsidRPr="005711D1">
        <w:rPr>
          <w:bCs/>
          <w:sz w:val="22"/>
        </w:rPr>
        <w:t xml:space="preserve">Accurate sequence-of-events and relay/event analysis require synchronized device time. The existing SEL-2407 GPS clock is therefore assumed to </w:t>
      </w:r>
      <w:proofErr w:type="gramStart"/>
      <w:r w:rsidRPr="005711D1">
        <w:rPr>
          <w:bCs/>
          <w:sz w:val="22"/>
        </w:rPr>
        <w:t>remain</w:t>
      </w:r>
      <w:proofErr w:type="gramEnd"/>
      <w:r w:rsidRPr="005711D1">
        <w:rPr>
          <w:bCs/>
          <w:sz w:val="22"/>
        </w:rPr>
        <w:t xml:space="preserve"> the project </w:t>
      </w:r>
      <w:proofErr w:type="gramStart"/>
      <w:r w:rsidRPr="005711D1">
        <w:rPr>
          <w:bCs/>
          <w:sz w:val="22"/>
        </w:rPr>
        <w:t>time reference</w:t>
      </w:r>
      <w:proofErr w:type="gramEnd"/>
      <w:r w:rsidRPr="005711D1">
        <w:rPr>
          <w:bCs/>
          <w:sz w:val="22"/>
        </w:rPr>
        <w:t>. Time synchronization will be distributed to the applicable devices so that relay events, RTAC events, and HMI timestamps align as closely as practical. This is especially important for commissioning, transfer sequence verification, post-event troubleshooting, and long-term operational support.</w:t>
      </w:r>
    </w:p>
    <w:p w14:paraId="12E7FCF4" w14:textId="77777777" w:rsidR="00513862" w:rsidRPr="005711D1" w:rsidRDefault="00AE385D" w:rsidP="005711D1">
      <w:pPr>
        <w:rPr>
          <w:bCs/>
          <w:sz w:val="22"/>
        </w:rPr>
      </w:pPr>
      <w:r w:rsidRPr="005711D1">
        <w:rPr>
          <w:bCs/>
          <w:sz w:val="22"/>
        </w:rPr>
        <w:t>7. HMI and Operator Visibility</w:t>
      </w:r>
    </w:p>
    <w:p w14:paraId="68DFD343" w14:textId="77777777" w:rsidR="00513862" w:rsidRPr="005711D1" w:rsidRDefault="00AE385D" w:rsidP="005711D1">
      <w:pPr>
        <w:rPr>
          <w:bCs/>
          <w:sz w:val="22"/>
        </w:rPr>
      </w:pPr>
      <w:r w:rsidRPr="005711D1">
        <w:rPr>
          <w:bCs/>
          <w:sz w:val="22"/>
        </w:rPr>
        <w:t>The communications architecture is also designed to support a practical operator interface. The HMI will rely on the RTAC as the central data concentrator for system-level visibility, including operating mode, generator status, synchronizing status, underfrequency load shedding status, breaker permissives, device health, and alarm summaries. Existing standard relay screens may remain available, but the dedicated generator HMI will focus on system-level visibility rather than requiring the operator to naviga</w:t>
      </w:r>
      <w:r w:rsidRPr="005711D1">
        <w:rPr>
          <w:bCs/>
          <w:sz w:val="22"/>
        </w:rPr>
        <w:t>te raw relay information to understand plant status.</w:t>
      </w:r>
    </w:p>
    <w:p w14:paraId="6DB89B23" w14:textId="77777777" w:rsidR="00513862" w:rsidRPr="005711D1" w:rsidRDefault="00AE385D" w:rsidP="005711D1">
      <w:pPr>
        <w:rPr>
          <w:bCs/>
          <w:sz w:val="22"/>
        </w:rPr>
      </w:pPr>
      <w:r w:rsidRPr="005711D1">
        <w:rPr>
          <w:bCs/>
          <w:sz w:val="22"/>
        </w:rPr>
        <w:t>8. Reliability Philosophy</w:t>
      </w:r>
    </w:p>
    <w:p w14:paraId="5E2479D6" w14:textId="77777777" w:rsidR="00513862" w:rsidRPr="005711D1" w:rsidRDefault="00AE385D" w:rsidP="005711D1">
      <w:pPr>
        <w:rPr>
          <w:bCs/>
          <w:sz w:val="22"/>
        </w:rPr>
      </w:pPr>
      <w:r w:rsidRPr="005711D1">
        <w:rPr>
          <w:bCs/>
          <w:sz w:val="22"/>
        </w:rPr>
        <w:t>The communications architecture is intended to maximize the use of communications for supervisory and noncritical roles while maintaining hardwired paths for critical breaker control, protection, lockout, and other essential functions. Loss of communications should result in a fail-safe supervisory response, such as sequence hold, alarm, or blocked operation, rather than unsafe automatic action. In this way, the communications architecture improves visibility, coordination, and automation capability without</w:t>
      </w:r>
      <w:r w:rsidRPr="005711D1">
        <w:rPr>
          <w:bCs/>
          <w:sz w:val="22"/>
        </w:rPr>
        <w:t xml:space="preserve"> becoming the sole protective barrier for critical switching or trip functions.</w:t>
      </w:r>
    </w:p>
    <w:p w14:paraId="3862E4C7" w14:textId="77777777" w:rsidR="00513862" w:rsidRPr="005711D1" w:rsidRDefault="00AE385D" w:rsidP="005711D1">
      <w:pPr>
        <w:rPr>
          <w:bCs/>
          <w:sz w:val="22"/>
        </w:rPr>
      </w:pPr>
      <w:r w:rsidRPr="005711D1">
        <w:rPr>
          <w:bCs/>
          <w:sz w:val="22"/>
        </w:rPr>
        <w:t>9. Summary</w:t>
      </w:r>
    </w:p>
    <w:p w14:paraId="44EF7E8F" w14:textId="77777777" w:rsidR="00513862" w:rsidRPr="005711D1" w:rsidRDefault="00AE385D" w:rsidP="005711D1">
      <w:pPr>
        <w:rPr>
          <w:bCs/>
          <w:sz w:val="22"/>
        </w:rPr>
      </w:pPr>
      <w:r w:rsidRPr="005711D1">
        <w:rPr>
          <w:bCs/>
          <w:sz w:val="22"/>
        </w:rPr>
        <w:t>In summary, the Goldrush communications architecture is based on a dedicated generator control network with the SEL-3555 RTAC as the supervisory automation core, integrated communications with the ECS-200 controllers and SEL relays, upstream station integration through the existing SEL-3530 RTAC, and synchronized event quality through the existing SEL-2407 GPS clock. The architecture is intended to be reliable, maintainable, and aligned with the project’s control philosophy, while providing the Owner with c</w:t>
      </w:r>
      <w:r w:rsidRPr="005711D1">
        <w:rPr>
          <w:bCs/>
          <w:sz w:val="22"/>
        </w:rPr>
        <w:t>lear operating visibility and a solid platform for commissioning and long-term support.</w:t>
      </w:r>
    </w:p>
    <w:p w14:paraId="7F1091DD" w14:textId="01EC00F0" w:rsidR="00513862" w:rsidRPr="005711D1" w:rsidRDefault="00513862" w:rsidP="005711D1">
      <w:pPr>
        <w:rPr>
          <w:bCs/>
          <w:sz w:val="22"/>
        </w:rPr>
      </w:pPr>
    </w:p>
    <w:sectPr w:rsidR="00513862" w:rsidRPr="005711D1"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1352442">
    <w:abstractNumId w:val="8"/>
  </w:num>
  <w:num w:numId="2" w16cid:durableId="12388936">
    <w:abstractNumId w:val="6"/>
  </w:num>
  <w:num w:numId="3" w16cid:durableId="1009023936">
    <w:abstractNumId w:val="5"/>
  </w:num>
  <w:num w:numId="4" w16cid:durableId="1984843982">
    <w:abstractNumId w:val="4"/>
  </w:num>
  <w:num w:numId="5" w16cid:durableId="2106413482">
    <w:abstractNumId w:val="7"/>
  </w:num>
  <w:num w:numId="6" w16cid:durableId="1281033785">
    <w:abstractNumId w:val="3"/>
  </w:num>
  <w:num w:numId="7" w16cid:durableId="1534540230">
    <w:abstractNumId w:val="2"/>
  </w:num>
  <w:num w:numId="8" w16cid:durableId="1938711179">
    <w:abstractNumId w:val="1"/>
  </w:num>
  <w:num w:numId="9" w16cid:durableId="1235433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70F6"/>
    <w:rsid w:val="0029639D"/>
    <w:rsid w:val="00326F90"/>
    <w:rsid w:val="00513862"/>
    <w:rsid w:val="005711D1"/>
    <w:rsid w:val="00AA1D8D"/>
    <w:rsid w:val="00AE385D"/>
    <w:rsid w:val="00B47730"/>
    <w:rsid w:val="00CB0664"/>
    <w:rsid w:val="00E15733"/>
    <w:rsid w:val="00F21F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8ED25C"/>
  <w14:defaultImageDpi w14:val="300"/>
  <w15:docId w15:val="{425AA533-E770-4C82-9765-DE2E18C4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Jay Elquist</cp:lastModifiedBy>
  <cp:revision>3</cp:revision>
  <dcterms:created xsi:type="dcterms:W3CDTF">2013-12-23T23:15:00Z</dcterms:created>
  <dcterms:modified xsi:type="dcterms:W3CDTF">2026-05-15T19:20:00Z</dcterms:modified>
  <cp:category/>
</cp:coreProperties>
</file>